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  <w:gridCol w:w="3680"/>
      </w:tblGrid>
      <w:tr w:rsidR="00771821" w:rsidTr="000B74A0"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821" w:rsidRDefault="00771821" w:rsidP="000B74A0">
            <w:pPr>
              <w:pStyle w:val="newncpi"/>
              <w:spacing w:before="18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fldChar w:fldCharType="begin"/>
            </w:r>
            <w:r>
              <w:rPr>
                <w:color w:val="000000"/>
                <w:lang w:val="ru-RU" w:eastAsia="ru-RU" w:bidi="ar-SA"/>
              </w:rPr>
              <w:instrText xml:space="preserve"> HYPERLINK "https://normativka.by/lib/search/500079119/incoming-links/100733412" \o "Другие документы, ссылающиеся на данный абзац в документе" \t "_parent" </w:instrText>
            </w:r>
            <w:r>
              <w:rPr>
                <w:color w:val="000000"/>
                <w:lang w:val="ru-RU" w:eastAsia="ru-RU" w:bidi="ar-SA"/>
              </w:rPr>
            </w:r>
            <w:r>
              <w:rPr>
                <w:color w:val="000000"/>
                <w:lang w:val="ru-RU" w:eastAsia="ru-RU" w:bidi="ar-SA"/>
              </w:rPr>
              <w:fldChar w:fldCharType="separate"/>
            </w:r>
            <w:r>
              <w:rPr>
                <w:color w:val="000000"/>
                <w:lang w:val="ru-RU" w:eastAsia="ru-RU" w:bidi="ar-SA"/>
              </w:rPr>
              <w:fldChar w:fldCharType="end"/>
            </w: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821" w:rsidRDefault="00771821" w:rsidP="000B74A0">
            <w:pPr>
              <w:pStyle w:val="capu1"/>
              <w:spacing w:after="240"/>
              <w:rPr>
                <w:color w:val="000000"/>
                <w:lang w:val="ru-RU" w:eastAsia="ru-RU" w:bidi="ar-SA"/>
              </w:rPr>
            </w:pPr>
            <w:hyperlink r:id="rId5" w:tgtFrame="_parent" w:tooltip="Другие документы, ссылающиеся на данный абзац в документе" w:history="1"/>
            <w:bookmarkStart w:id="0" w:name="Утв_1"/>
            <w:bookmarkEnd w:id="0"/>
            <w:r>
              <w:rPr>
                <w:color w:val="000000"/>
                <w:lang w:val="ru-RU" w:eastAsia="ru-RU" w:bidi="ar-SA"/>
              </w:rPr>
              <w:t>УТВЕРЖДЕНО</w:t>
            </w:r>
          </w:p>
          <w:p w:rsidR="00771821" w:rsidRDefault="00771821" w:rsidP="000B74A0">
            <w:pPr>
              <w:pStyle w:val="cap1"/>
              <w:spacing w:before="240" w:after="24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Указ Президента</w:t>
            </w:r>
            <w:r>
              <w:rPr>
                <w:color w:val="000000"/>
                <w:lang w:val="ru-RU" w:eastAsia="ru-RU" w:bidi="ar-SA"/>
              </w:rPr>
              <w:br/>
              <w:t>Республики Беларусь</w:t>
            </w:r>
          </w:p>
          <w:p w:rsidR="00771821" w:rsidRDefault="00771821" w:rsidP="000B74A0">
            <w:pPr>
              <w:pStyle w:val="cap1"/>
              <w:spacing w:before="240"/>
              <w:rPr>
                <w:color w:val="000000"/>
                <w:lang w:val="ru-RU" w:eastAsia="ru-RU" w:bidi="ar-SA"/>
              </w:rPr>
            </w:pPr>
            <w:hyperlink r:id="rId6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26.04.2010 № 200</w:t>
            </w:r>
          </w:p>
        </w:tc>
      </w:tr>
    </w:tbl>
    <w:p w:rsidR="00771821" w:rsidRDefault="00771821" w:rsidP="00771821">
      <w:pPr>
        <w:pStyle w:val="titleu"/>
        <w:spacing w:before="255"/>
        <w:rPr>
          <w:lang w:val="ru-RU" w:eastAsia="ru-RU" w:bidi="ar-SA"/>
        </w:rPr>
      </w:pPr>
      <w:hyperlink r:id="rId7" w:tgtFrame="_parent" w:tooltip="Другие документы, ссылающиеся на данный абзац в документе" w:history="1"/>
      <w:bookmarkStart w:id="1" w:name="Заг_Утв_1"/>
      <w:bookmarkEnd w:id="1"/>
      <w:r>
        <w:rPr>
          <w:lang w:val="ru-RU" w:eastAsia="ru-RU" w:bidi="ar-SA"/>
        </w:rPr>
        <w:t>ПЕРЕЧЕНЬ</w:t>
      </w:r>
      <w:r>
        <w:rPr>
          <w:lang w:val="ru-RU" w:eastAsia="ru-RU" w:bidi="ar-SA"/>
        </w:rP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p w:rsidR="00A42E06" w:rsidRDefault="00A42E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54"/>
        <w:gridCol w:w="627"/>
        <w:gridCol w:w="1594"/>
        <w:gridCol w:w="576"/>
        <w:gridCol w:w="2646"/>
        <w:gridCol w:w="428"/>
        <w:gridCol w:w="1483"/>
        <w:gridCol w:w="950"/>
        <w:gridCol w:w="1266"/>
        <w:gridCol w:w="1028"/>
        <w:gridCol w:w="810"/>
        <w:gridCol w:w="824"/>
      </w:tblGrid>
      <w:tr w:rsidR="00771821" w:rsidTr="000B74A0">
        <w:trPr>
          <w:trHeight w:val="240"/>
        </w:trPr>
        <w:tc>
          <w:tcPr>
            <w:tcW w:w="5000" w:type="pct"/>
            <w:gridSpan w:val="12"/>
          </w:tcPr>
          <w:p w:rsidR="00771821" w:rsidRDefault="00771821" w:rsidP="000B74A0">
            <w:pPr>
              <w:pStyle w:val="chapter"/>
              <w:spacing w:before="120"/>
              <w:rPr>
                <w:color w:val="000000"/>
                <w:lang w:val="ru-RU" w:eastAsia="ru-RU" w:bidi="ar-SA"/>
              </w:rPr>
            </w:pPr>
            <w:hyperlink r:id="rId8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ГЛАВА 6</w:t>
            </w:r>
            <w:r>
              <w:rPr>
                <w:color w:val="000000"/>
                <w:lang w:val="ru-RU" w:eastAsia="ru-RU" w:bidi="ar-SA"/>
              </w:rPr>
              <w:br/>
              <w:t>ОБРАЗОВАНИЕ</w:t>
            </w:r>
          </w:p>
        </w:tc>
      </w:tr>
      <w:tr w:rsidR="00771821" w:rsidTr="001A700B">
        <w:trPr>
          <w:gridAfter w:val="2"/>
          <w:wAfter w:w="599" w:type="pct"/>
          <w:trHeight w:val="240"/>
        </w:trPr>
        <w:tc>
          <w:tcPr>
            <w:tcW w:w="864" w:type="pct"/>
          </w:tcPr>
          <w:p w:rsidR="00771821" w:rsidRDefault="00771821" w:rsidP="000B74A0">
            <w:pPr>
              <w:pStyle w:val="article"/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6.1. Выдача дубликатов:</w:t>
            </w:r>
          </w:p>
        </w:tc>
        <w:tc>
          <w:tcPr>
            <w:tcW w:w="758" w:type="pct"/>
            <w:gridSpan w:val="2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5" w:type="pct"/>
            <w:gridSpan w:val="3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71" w:type="pct"/>
            <w:gridSpan w:val="2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93" w:type="pct"/>
            <w:gridSpan w:val="2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</w:tr>
      <w:tr w:rsidR="00771821" w:rsidTr="001A700B">
        <w:trPr>
          <w:gridAfter w:val="2"/>
          <w:wAfter w:w="599" w:type="pct"/>
          <w:trHeight w:val="240"/>
        </w:trPr>
        <w:tc>
          <w:tcPr>
            <w:tcW w:w="864" w:type="pct"/>
          </w:tcPr>
          <w:p w:rsidR="00771821" w:rsidRDefault="00771821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hyperlink r:id="rId9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758" w:type="pct"/>
            <w:gridSpan w:val="2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районного </w:t>
            </w:r>
            <w:r>
              <w:rPr>
                <w:color w:val="000000"/>
                <w:lang w:val="ru-RU" w:eastAsia="ru-RU" w:bidi="ar-SA"/>
              </w:rPr>
              <w:lastRenderedPageBreak/>
              <w:t>подчинения) исполнительный комитет, местная администрация района в городе (в случае ликвидации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15" w:type="pct"/>
            <w:gridSpan w:val="3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заявление с указанием причин утраты документа или приведения его в негодность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пришедший в негодность документ – в случае, если документ пришел в негодность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документ, подтверждающий внесение платы</w:t>
            </w:r>
          </w:p>
        </w:tc>
        <w:tc>
          <w:tcPr>
            <w:tcW w:w="871" w:type="pct"/>
            <w:gridSpan w:val="2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0,2 базовой величины – за дубликат иного документа об образовании (для </w:t>
            </w:r>
            <w:r>
              <w:rPr>
                <w:color w:val="000000"/>
                <w:lang w:val="ru-RU" w:eastAsia="ru-RU" w:bidi="ar-SA"/>
              </w:rPr>
              <w:lastRenderedPageBreak/>
              <w:t>граждан Республики Беларусь)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793" w:type="pct"/>
            <w:gridSpan w:val="2"/>
          </w:tcPr>
          <w:p w:rsidR="00771821" w:rsidRDefault="00771821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hyperlink r:id="rId10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6.1.2. свидетельства о направлении на работу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организация, выдавшая свидетельство, правопреемник организации, выдавшей свидетельство, районный, городской (городов областного и районного подчинения) исполнительный комитет, местная </w:t>
            </w:r>
            <w:r>
              <w:rPr>
                <w:color w:val="000000"/>
                <w:lang w:val="ru-RU" w:eastAsia="ru-RU" w:bidi="ar-SA"/>
              </w:rPr>
              <w:lastRenderedPageBreak/>
              <w:t>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заявление с указанием причин утраты свидетельства о направлении на работу или приведения его в негодность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пришедшее в негодность свидетельство о </w:t>
            </w:r>
            <w:r>
              <w:rPr>
                <w:color w:val="000000"/>
                <w:lang w:val="ru-RU" w:eastAsia="ru-RU" w:bidi="ar-SA"/>
              </w:rPr>
              <w:lastRenderedPageBreak/>
              <w:t>направлении на работу – в случае, если оно пришло в негодность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hyperlink r:id="rId11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6.1.3. справки о самостоятельном трудоустройстве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организация, выдавшая справку, правопреемник организации, выдавшей справку, районный, городской (городов областного и 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пришедшая в негодность справка о самостоятельном трудоустройстве – в случае, если она пришла в негодность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6.1.4. билета учащегося, студенческого билета, удостоверения аспиранта (адъюнкта, докторанта, </w:t>
            </w:r>
            <w:r>
              <w:rPr>
                <w:color w:val="000000"/>
                <w:lang w:val="ru-RU" w:eastAsia="ru-RU" w:bidi="ar-SA"/>
              </w:rPr>
              <w:lastRenderedPageBreak/>
              <w:t>соискателя), билета слушателя, книжки успеваемости учащегося, зачетной книжки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организация, выдавшая документ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заявление с указанием причин утраты документа или приведения его в </w:t>
            </w:r>
            <w:r>
              <w:rPr>
                <w:color w:val="000000"/>
                <w:lang w:val="ru-RU" w:eastAsia="ru-RU" w:bidi="ar-SA"/>
              </w:rPr>
              <w:lastRenderedPageBreak/>
              <w:t>негодность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5 дней со дня подачи заявления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до окончания обучения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6.1.5. удостоверения на право обслуживания потенциально опасных объектов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организация, выдавшая удостоверение,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</w:t>
            </w:r>
            <w:r>
              <w:rPr>
                <w:color w:val="000000"/>
                <w:lang w:val="ru-RU" w:eastAsia="ru-RU" w:bidi="ar-SA"/>
              </w:rPr>
              <w:lastRenderedPageBreak/>
              <w:t>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заявление с указанием причин утраты удостоверения или приведения его в негодность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пришедшее в негодность удостоверение – в случае, если удостоверение пришло в негодность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pStyle w:val="article"/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6.2. Выдача в связи с изменением половой принадлежности: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 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районного подчинения) исполнительный комитет, местная администрация района в городе (в случае ликвидации организации и отсутствия правопреемника, прекращения </w:t>
            </w:r>
            <w:r>
              <w:rPr>
                <w:color w:val="000000"/>
                <w:lang w:val="ru-RU" w:eastAsia="ru-RU" w:bidi="ar-SA"/>
              </w:rPr>
              <w:lastRenderedPageBreak/>
              <w:t>деятельности индивидуального предпринимателя)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ранее выданный документ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свидетельство о рождении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документ, подтверждающий внесение платы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12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0,1 базовой величины – за свидетельство об общем базовом образовании, аттестат об общем среднем образовании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0,2 базовой величины – за иной документ об образовании (для граждан Республики Беларусь)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1 базовая величина – за дубликат иного документа об образовании (для иностранных </w:t>
            </w:r>
            <w:r>
              <w:rPr>
                <w:color w:val="000000"/>
                <w:lang w:val="ru-RU" w:eastAsia="ru-RU" w:bidi="ar-SA"/>
              </w:rPr>
              <w:lastRenderedPageBreak/>
              <w:t>граждан и лиц без гражданства)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бесплатно – приложение к документу об образовании, документ об обучении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6.2.2. свидетельства о направлении на работу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организация, выдавшая свидетельство о направлении на работу, правопреемник организации, выдавшей свидетельство о направлении на работу, районный, городской (городов областного и районного подчинения) исполнительный комитет, местная администрация района в городе (в случае ликвидации </w:t>
            </w:r>
            <w:r>
              <w:rPr>
                <w:color w:val="000000"/>
                <w:lang w:val="ru-RU" w:eastAsia="ru-RU" w:bidi="ar-SA"/>
              </w:rPr>
              <w:lastRenderedPageBreak/>
              <w:t>организации и отсутствия 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свидетельство о рождении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ранее выданное свидетельство о направлении на работу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6.2.3. справки о самостоятельном трудоустройстве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организация, выдавшая справку, правопреемник организации, выдавшей справку, районный, городской (городов областного и 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свидетельство о рождении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ранее выданная справка о самостоятельном трудоустройстве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6.2.4.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организация, выдавшая документ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свидетельство о </w:t>
            </w:r>
            <w:r>
              <w:rPr>
                <w:color w:val="000000"/>
                <w:lang w:val="ru-RU" w:eastAsia="ru-RU" w:bidi="ar-SA"/>
              </w:rPr>
              <w:lastRenderedPageBreak/>
              <w:t>рождении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ранее выданный документ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5 дней со дня подачи заявления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до окончания обучения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6.2.5. удостоверения на право обслуживания потенциально опасных объектов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организация, выдавшая удостоверение,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13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свидетельство о рождении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ранее выданное удостоверение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14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pStyle w:val="article"/>
              <w:spacing w:before="120" w:after="100"/>
              <w:rPr>
                <w:color w:val="000000"/>
                <w:lang w:val="ru-RU" w:eastAsia="ru-RU" w:bidi="ar-SA"/>
              </w:rPr>
            </w:pPr>
            <w:hyperlink r:id="rId15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 xml:space="preserve">6.3. Выдача справки о том, что гражданин является обучающимся (с </w:t>
            </w:r>
            <w:r>
              <w:rPr>
                <w:color w:val="000000"/>
                <w:lang w:val="ru-RU" w:eastAsia="ru-RU" w:bidi="ar-SA"/>
              </w:rPr>
              <w:lastRenderedPageBreak/>
              <w:t>указанием необходимых сведений, которыми располагает 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 xml:space="preserve">учреждение образования, организация, реализующая образовательные программы </w:t>
            </w:r>
            <w:r>
              <w:rPr>
                <w:color w:val="000000"/>
                <w:lang w:val="ru-RU" w:eastAsia="ru-RU" w:bidi="ar-SA"/>
              </w:rPr>
              <w:lastRenderedPageBreak/>
              <w:t>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16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одна фотография размером 30 х 40 мм – в случае получения обучающимся справки, </w:t>
            </w:r>
            <w:r>
              <w:rPr>
                <w:color w:val="000000"/>
                <w:lang w:val="ru-RU" w:eastAsia="ru-RU" w:bidi="ar-SA"/>
              </w:rPr>
              <w:lastRenderedPageBreak/>
              <w:t>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17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в день обращения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с 1 сентября либо с даты подачи заявления (в случае подачи заявления </w:t>
            </w:r>
            <w:r>
              <w:rPr>
                <w:color w:val="000000"/>
                <w:lang w:val="ru-RU" w:eastAsia="ru-RU" w:bidi="ar-SA"/>
              </w:rPr>
              <w:lastRenderedPageBreak/>
              <w:t>после 1 сентября) по 31 августа – для обучающихся, получающих общее среднее, специальное образование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6 месяцев – для иных обучающихся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pStyle w:val="article"/>
              <w:spacing w:before="120" w:after="100"/>
              <w:rPr>
                <w:color w:val="000000"/>
                <w:lang w:val="ru-RU" w:eastAsia="ru-RU" w:bidi="ar-SA"/>
              </w:rPr>
            </w:pPr>
            <w:hyperlink r:id="rId18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 xml:space="preserve">6.4. Выдача справки о </w:t>
            </w:r>
            <w:r>
              <w:rPr>
                <w:color w:val="000000"/>
                <w:lang w:val="ru-RU" w:eastAsia="ru-RU" w:bidi="ar-SA"/>
              </w:rPr>
              <w:lastRenderedPageBreak/>
              <w:t>результатах сдачи вступительных испытаний в учреждениях высшего, среднего специального образования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учреждение образования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в день подачи заявления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19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6 месяцев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pStyle w:val="article"/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6.5. Выдача справки о том, что высшее, среднее специальное образование получено на платной основе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учреждение образования, в котором получено высшее, среднее специальное образование, правопреемник учреждения образования, в котором получено высшее, среднее специальное образование, районный, городской (городов областного и районного подчинения) исполнительный комитет, местная администрация района в городе </w:t>
            </w:r>
            <w:r>
              <w:rPr>
                <w:color w:val="000000"/>
                <w:lang w:val="ru-RU" w:eastAsia="ru-RU" w:bidi="ar-SA"/>
              </w:rPr>
              <w:lastRenderedPageBreak/>
              <w:t>(в случае ликвидации учреждения образования и отсутствия правопреемника)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бесплатно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в день подачи заявления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20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  <w:tr w:rsidR="001A700B" w:rsidTr="001A700B">
        <w:trPr>
          <w:gridAfter w:val="1"/>
          <w:wAfter w:w="324" w:type="pct"/>
          <w:trHeight w:val="240"/>
        </w:trPr>
        <w:tc>
          <w:tcPr>
            <w:tcW w:w="1076" w:type="pct"/>
            <w:gridSpan w:val="2"/>
          </w:tcPr>
          <w:p w:rsidR="001A700B" w:rsidRDefault="001A700B" w:rsidP="000B74A0">
            <w:pPr>
              <w:pStyle w:val="article"/>
              <w:spacing w:before="120" w:after="10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 xml:space="preserve">6.8. Признание документа об образовании, выданного лицу в иностранном государстве, и установление его эквивалентности (соответствия) документу об образовании Республики Беларусь, признание и установление соответствия периодов обучения в иностранных организациях и их филиалах, международных </w:t>
            </w:r>
            <w:r>
              <w:rPr>
                <w:color w:val="000000"/>
                <w:lang w:val="ru-RU" w:eastAsia="ru-RU" w:bidi="ar-SA"/>
              </w:rPr>
              <w:lastRenderedPageBreak/>
              <w:t>организациях с выдачей свидетельства</w:t>
            </w:r>
          </w:p>
        </w:tc>
        <w:tc>
          <w:tcPr>
            <w:tcW w:w="743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21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735" w:type="pct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hyperlink r:id="rId22" w:tgtFrame="_parent" w:tooltip="Другие документы, ссылающиеся на данный абзац в документе" w:history="1"/>
            <w:r>
              <w:rPr>
                <w:color w:val="000000"/>
                <w:lang w:val="ru-RU" w:eastAsia="ru-RU" w:bidi="ar-SA"/>
              </w:rPr>
              <w:t>заявление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>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образовании, выданного лицу в иностранном государстве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нотариально засвидетельствованная и легализованная в установленном порядке копия приложения к документу об </w:t>
            </w:r>
            <w:r>
              <w:rPr>
                <w:color w:val="000000"/>
                <w:lang w:val="ru-RU" w:eastAsia="ru-RU" w:bidi="ar-SA"/>
              </w:rPr>
              <w:lastRenderedPageBreak/>
              <w:t xml:space="preserve">образовании, выданному лицу в иностранном государстве, которое представляет собой выписку из </w:t>
            </w:r>
            <w:proofErr w:type="spellStart"/>
            <w:r>
              <w:rPr>
                <w:color w:val="000000"/>
                <w:lang w:val="ru-RU" w:eastAsia="ru-RU" w:bidi="ar-SA"/>
              </w:rPr>
              <w:t>зачетно</w:t>
            </w:r>
            <w:proofErr w:type="spellEnd"/>
            <w:r>
              <w:rPr>
                <w:color w:val="000000"/>
                <w:lang w:val="ru-RU" w:eastAsia="ru-RU" w:bidi="ar-SA"/>
              </w:rPr>
              <w:t>-экзаменационной ведомости</w:t>
            </w:r>
            <w:r>
              <w:rPr>
                <w:color w:val="000000"/>
                <w:lang w:val="ru-RU" w:eastAsia="ru-RU" w:bidi="ar-SA"/>
              </w:rPr>
              <w:br/>
            </w:r>
            <w:r>
              <w:rPr>
                <w:color w:val="000000"/>
                <w:lang w:val="ru-RU" w:eastAsia="ru-RU" w:bidi="ar-SA"/>
              </w:rPr>
              <w:br/>
              <w:t xml:space="preserve">нотариально засвидетельствованный перевод на один из государственных языков Республики Беларусь легализованных в установленном порядке оригиналов (копий) документа об образовании, выданного лицу в иностранном государстве, и приложения к нему, которое представляет собой выписку из </w:t>
            </w:r>
            <w:proofErr w:type="spellStart"/>
            <w:r>
              <w:rPr>
                <w:color w:val="000000"/>
                <w:lang w:val="ru-RU" w:eastAsia="ru-RU" w:bidi="ar-SA"/>
              </w:rPr>
              <w:t>зачетно</w:t>
            </w:r>
            <w:proofErr w:type="spellEnd"/>
            <w:r>
              <w:rPr>
                <w:color w:val="000000"/>
                <w:lang w:val="ru-RU" w:eastAsia="ru-RU" w:bidi="ar-SA"/>
              </w:rPr>
              <w:t>-экзаменационной ведомости</w:t>
            </w:r>
          </w:p>
        </w:tc>
        <w:tc>
          <w:tcPr>
            <w:tcW w:w="717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lastRenderedPageBreak/>
              <w:t>0,1 базовой величины</w:t>
            </w:r>
          </w:p>
        </w:tc>
        <w:tc>
          <w:tcPr>
            <w:tcW w:w="781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1 месяц со дня подачи заявления</w:t>
            </w:r>
          </w:p>
        </w:tc>
        <w:tc>
          <w:tcPr>
            <w:tcW w:w="624" w:type="pct"/>
            <w:gridSpan w:val="2"/>
          </w:tcPr>
          <w:p w:rsidR="001A700B" w:rsidRDefault="001A700B" w:rsidP="000B74A0">
            <w:pPr>
              <w:spacing w:before="120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бессрочно</w:t>
            </w:r>
          </w:p>
        </w:tc>
      </w:tr>
    </w:tbl>
    <w:p w:rsidR="00771821" w:rsidRPr="00771821" w:rsidRDefault="00771821">
      <w:pPr>
        <w:rPr>
          <w:lang w:val="ru-RU"/>
        </w:rPr>
      </w:pPr>
      <w:bookmarkStart w:id="2" w:name="_GoBack"/>
      <w:bookmarkEnd w:id="2"/>
    </w:p>
    <w:p w:rsidR="00771821" w:rsidRDefault="00771821"/>
    <w:p w:rsidR="00771821" w:rsidRDefault="00771821"/>
    <w:p w:rsidR="00771821" w:rsidRDefault="00771821"/>
    <w:p w:rsidR="00771821" w:rsidRPr="00771821" w:rsidRDefault="00771821">
      <w:pPr>
        <w:rPr>
          <w:lang w:val="ru-RU"/>
        </w:rPr>
      </w:pPr>
    </w:p>
    <w:sectPr w:rsidR="00771821" w:rsidRPr="00771821" w:rsidSect="007718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21"/>
    <w:rsid w:val="001A700B"/>
    <w:rsid w:val="00771821"/>
    <w:rsid w:val="0081135F"/>
    <w:rsid w:val="00A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71821"/>
    <w:pPr>
      <w:ind w:firstLine="510"/>
      <w:jc w:val="both"/>
    </w:pPr>
  </w:style>
  <w:style w:type="paragraph" w:customStyle="1" w:styleId="capu1">
    <w:name w:val="capu1"/>
    <w:basedOn w:val="a"/>
    <w:rsid w:val="00771821"/>
    <w:rPr>
      <w:rFonts w:ascii="Arial" w:eastAsia="Arial" w:hAnsi="Arial" w:cs="Arial"/>
    </w:rPr>
  </w:style>
  <w:style w:type="paragraph" w:customStyle="1" w:styleId="cap1">
    <w:name w:val="cap1"/>
    <w:basedOn w:val="a"/>
    <w:rsid w:val="00771821"/>
    <w:rPr>
      <w:rFonts w:ascii="Arial" w:eastAsia="Arial" w:hAnsi="Arial" w:cs="Arial"/>
    </w:rPr>
  </w:style>
  <w:style w:type="paragraph" w:customStyle="1" w:styleId="titleu">
    <w:name w:val="titleu"/>
    <w:basedOn w:val="a"/>
    <w:rsid w:val="00771821"/>
    <w:rPr>
      <w:rFonts w:ascii="Arial" w:eastAsia="Arial" w:hAnsi="Arial" w:cs="Arial"/>
      <w:b/>
      <w:bCs/>
      <w:sz w:val="30"/>
      <w:szCs w:val="30"/>
    </w:rPr>
  </w:style>
  <w:style w:type="paragraph" w:customStyle="1" w:styleId="chapter">
    <w:name w:val="chapter"/>
    <w:basedOn w:val="a"/>
    <w:rsid w:val="00771821"/>
    <w:rPr>
      <w:rFonts w:ascii="Arial" w:eastAsia="Arial" w:hAnsi="Arial" w:cs="Arial"/>
      <w:sz w:val="36"/>
      <w:szCs w:val="36"/>
    </w:rPr>
  </w:style>
  <w:style w:type="paragraph" w:customStyle="1" w:styleId="article">
    <w:name w:val="article"/>
    <w:basedOn w:val="a"/>
    <w:rsid w:val="00771821"/>
    <w:rPr>
      <w:rFonts w:ascii="Arial" w:eastAsia="Arial" w:hAnsi="Arial" w:cs="Arial"/>
      <w:b/>
      <w:bCs/>
      <w:sz w:val="30"/>
      <w:szCs w:val="30"/>
    </w:rPr>
  </w:style>
  <w:style w:type="table" w:styleId="a3">
    <w:name w:val="Table Grid"/>
    <w:basedOn w:val="a1"/>
    <w:uiPriority w:val="39"/>
    <w:rsid w:val="0077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71821"/>
    <w:pPr>
      <w:ind w:firstLine="510"/>
      <w:jc w:val="both"/>
    </w:pPr>
  </w:style>
  <w:style w:type="paragraph" w:customStyle="1" w:styleId="capu1">
    <w:name w:val="capu1"/>
    <w:basedOn w:val="a"/>
    <w:rsid w:val="00771821"/>
    <w:rPr>
      <w:rFonts w:ascii="Arial" w:eastAsia="Arial" w:hAnsi="Arial" w:cs="Arial"/>
    </w:rPr>
  </w:style>
  <w:style w:type="paragraph" w:customStyle="1" w:styleId="cap1">
    <w:name w:val="cap1"/>
    <w:basedOn w:val="a"/>
    <w:rsid w:val="00771821"/>
    <w:rPr>
      <w:rFonts w:ascii="Arial" w:eastAsia="Arial" w:hAnsi="Arial" w:cs="Arial"/>
    </w:rPr>
  </w:style>
  <w:style w:type="paragraph" w:customStyle="1" w:styleId="titleu">
    <w:name w:val="titleu"/>
    <w:basedOn w:val="a"/>
    <w:rsid w:val="00771821"/>
    <w:rPr>
      <w:rFonts w:ascii="Arial" w:eastAsia="Arial" w:hAnsi="Arial" w:cs="Arial"/>
      <w:b/>
      <w:bCs/>
      <w:sz w:val="30"/>
      <w:szCs w:val="30"/>
    </w:rPr>
  </w:style>
  <w:style w:type="paragraph" w:customStyle="1" w:styleId="chapter">
    <w:name w:val="chapter"/>
    <w:basedOn w:val="a"/>
    <w:rsid w:val="00771821"/>
    <w:rPr>
      <w:rFonts w:ascii="Arial" w:eastAsia="Arial" w:hAnsi="Arial" w:cs="Arial"/>
      <w:sz w:val="36"/>
      <w:szCs w:val="36"/>
    </w:rPr>
  </w:style>
  <w:style w:type="paragraph" w:customStyle="1" w:styleId="article">
    <w:name w:val="article"/>
    <w:basedOn w:val="a"/>
    <w:rsid w:val="00771821"/>
    <w:rPr>
      <w:rFonts w:ascii="Arial" w:eastAsia="Arial" w:hAnsi="Arial" w:cs="Arial"/>
      <w:b/>
      <w:bCs/>
      <w:sz w:val="30"/>
      <w:szCs w:val="30"/>
    </w:rPr>
  </w:style>
  <w:style w:type="table" w:styleId="a3">
    <w:name w:val="Table Grid"/>
    <w:basedOn w:val="a1"/>
    <w:uiPriority w:val="39"/>
    <w:rsid w:val="0077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search/500079119/incoming-links/100829384" TargetMode="External"/><Relationship Id="rId13" Type="http://schemas.openxmlformats.org/officeDocument/2006/relationships/hyperlink" Target="https://normativka.by/lib/search/500079119/incoming-links/100632168" TargetMode="External"/><Relationship Id="rId18" Type="http://schemas.openxmlformats.org/officeDocument/2006/relationships/hyperlink" Target="https://normativka.by/lib/search/500079119/incoming-links/1002926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ka.by/lib/search/500079119/incoming-links/100708896" TargetMode="External"/><Relationship Id="rId7" Type="http://schemas.openxmlformats.org/officeDocument/2006/relationships/hyperlink" Target="https://normativka.by/lib/search/500079119/incoming-links/100782841" TargetMode="External"/><Relationship Id="rId12" Type="http://schemas.openxmlformats.org/officeDocument/2006/relationships/hyperlink" Target="https://normativka.by/lib/search/500079119/incoming-links/100756937" TargetMode="External"/><Relationship Id="rId17" Type="http://schemas.openxmlformats.org/officeDocument/2006/relationships/hyperlink" Target="https://normativka.by/lib/search/500079119/incoming-links/1006604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ka.by/lib/search/500079119/incoming-links/100632169" TargetMode="External"/><Relationship Id="rId20" Type="http://schemas.openxmlformats.org/officeDocument/2006/relationships/hyperlink" Target="https://normativka.by/lib/search/500079119/incoming-links/10084541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ka.by/lib/search/500079119/incoming-links/100765582" TargetMode="External"/><Relationship Id="rId11" Type="http://schemas.openxmlformats.org/officeDocument/2006/relationships/hyperlink" Target="https://normativka.by/lib/search/500079119/incoming-links/1007075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ka.by/lib/search/500079119/incoming-links/100749353" TargetMode="External"/><Relationship Id="rId15" Type="http://schemas.openxmlformats.org/officeDocument/2006/relationships/hyperlink" Target="https://normativka.by/lib/search/500079119/incoming-links/1002781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ka.by/lib/search/500079119/incoming-links/100707552" TargetMode="External"/><Relationship Id="rId19" Type="http://schemas.openxmlformats.org/officeDocument/2006/relationships/hyperlink" Target="https://normativka.by/lib/search/500079119/incoming-links/100773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search/500079119/incoming-links/100615362" TargetMode="External"/><Relationship Id="rId14" Type="http://schemas.openxmlformats.org/officeDocument/2006/relationships/hyperlink" Target="https://normativka.by/lib/search/500079119/incoming-links/100660452" TargetMode="External"/><Relationship Id="rId22" Type="http://schemas.openxmlformats.org/officeDocument/2006/relationships/hyperlink" Target="https://normativka.by/lib/search/500079119/incoming-links/10063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ВАСИЛЕВИЧ ЕЛЕНА НИКОЛАЕВНА</dc:creator>
  <cp:lastModifiedBy>ВАСИЛЕВИЧ ЕЛЕНА НИКОЛАЕВНА</cp:lastModifiedBy>
  <cp:revision>2</cp:revision>
  <dcterms:created xsi:type="dcterms:W3CDTF">2022-09-30T13:25:00Z</dcterms:created>
  <dcterms:modified xsi:type="dcterms:W3CDTF">2022-09-30T13:25:00Z</dcterms:modified>
</cp:coreProperties>
</file>